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FE" w:rsidRPr="0072236B" w:rsidRDefault="00017FFE" w:rsidP="00017FFE">
      <w:pPr>
        <w:autoSpaceDE w:val="0"/>
        <w:autoSpaceDN w:val="0"/>
        <w:adjustRightInd w:val="0"/>
        <w:jc w:val="center"/>
        <w:rPr>
          <w:rFonts w:ascii="仿宋" w:eastAsia="仿宋" w:hAnsi="仿宋" w:cs="宋体" w:hint="eastAsia"/>
          <w:b/>
          <w:color w:val="000000"/>
          <w:kern w:val="0"/>
          <w:sz w:val="43"/>
          <w:szCs w:val="43"/>
        </w:rPr>
      </w:pPr>
      <w:r w:rsidRPr="0072236B">
        <w:rPr>
          <w:rFonts w:ascii="仿宋" w:eastAsia="仿宋" w:hAnsi="仿宋" w:cs="宋体" w:hint="eastAsia"/>
          <w:b/>
          <w:color w:val="000000"/>
          <w:kern w:val="0"/>
          <w:sz w:val="43"/>
          <w:szCs w:val="43"/>
        </w:rPr>
        <w:t>金融服务方案</w:t>
      </w:r>
    </w:p>
    <w:p w:rsidR="00301912" w:rsidRPr="0072236B" w:rsidRDefault="00301912" w:rsidP="00017FFE">
      <w:pPr>
        <w:autoSpaceDE w:val="0"/>
        <w:autoSpaceDN w:val="0"/>
        <w:adjustRightInd w:val="0"/>
        <w:jc w:val="center"/>
        <w:rPr>
          <w:rFonts w:ascii="仿宋" w:eastAsia="仿宋" w:hAnsi="仿宋" w:cs="宋体"/>
          <w:b/>
          <w:color w:val="000000"/>
          <w:kern w:val="0"/>
          <w:sz w:val="31"/>
          <w:szCs w:val="31"/>
        </w:rPr>
      </w:pPr>
    </w:p>
    <w:p w:rsidR="002701FD" w:rsidRDefault="002701FD" w:rsidP="002701FD">
      <w:pPr>
        <w:autoSpaceDE w:val="0"/>
        <w:autoSpaceDN w:val="0"/>
        <w:adjustRightInd w:val="0"/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宋体" w:hint="eastAsia"/>
          <w:color w:val="000000"/>
          <w:kern w:val="0"/>
          <w:sz w:val="31"/>
          <w:szCs w:val="31"/>
        </w:rPr>
        <w:t>中国银行股份有限公司东莞分行营业部</w:t>
      </w:r>
      <w:r w:rsidR="00017FFE"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联系人：</w:t>
      </w:r>
    </w:p>
    <w:p w:rsidR="00017FFE" w:rsidRPr="002701FD" w:rsidRDefault="00017FFE" w:rsidP="002701FD">
      <w:pPr>
        <w:autoSpaceDE w:val="0"/>
        <w:autoSpaceDN w:val="0"/>
        <w:adjustRightInd w:val="0"/>
        <w:ind w:firstLineChars="200" w:firstLine="620"/>
        <w:rPr>
          <w:rFonts w:ascii="仿宋" w:eastAsia="仿宋" w:hAnsi="仿宋" w:cs="宋体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吴勇产品经理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13925705084</w:t>
      </w:r>
    </w:p>
    <w:p w:rsidR="00017FFE" w:rsidRPr="0072236B" w:rsidRDefault="00017FFE" w:rsidP="002701FD">
      <w:pPr>
        <w:autoSpaceDE w:val="0"/>
        <w:autoSpaceDN w:val="0"/>
        <w:adjustRightInd w:val="0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梁柏聪产品经理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13527996826</w:t>
      </w:r>
    </w:p>
    <w:p w:rsidR="00301912" w:rsidRPr="002701FD" w:rsidRDefault="00017FFE" w:rsidP="002701FD">
      <w:pPr>
        <w:autoSpaceDE w:val="0"/>
        <w:autoSpaceDN w:val="0"/>
        <w:adjustRightInd w:val="0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周权锋副总经理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18925713300</w:t>
      </w:r>
    </w:p>
    <w:p w:rsidR="00017FFE" w:rsidRPr="0072236B" w:rsidRDefault="00017FFE" w:rsidP="00301912">
      <w:pPr>
        <w:autoSpaceDE w:val="0"/>
        <w:autoSpaceDN w:val="0"/>
        <w:adjustRightInd w:val="0"/>
        <w:jc w:val="center"/>
        <w:rPr>
          <w:rFonts w:ascii="仿宋" w:eastAsia="仿宋" w:hAnsi="仿宋" w:cs="宋体"/>
          <w:color w:val="FFFFFF"/>
          <w:kern w:val="0"/>
          <w:sz w:val="31"/>
          <w:szCs w:val="31"/>
        </w:rPr>
      </w:pPr>
      <w:r w:rsidRPr="0072236B">
        <w:rPr>
          <w:rFonts w:ascii="仿宋" w:eastAsia="仿宋" w:hAnsi="仿宋" w:cs="宋体" w:hint="eastAsia"/>
          <w:color w:val="FFFFFF"/>
          <w:kern w:val="0"/>
          <w:sz w:val="31"/>
          <w:szCs w:val="31"/>
        </w:rPr>
        <w:t>一、前言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感谢贵协会对于中国银行的信任！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为使贵协会了解我行的具体想法及诚意，我行认真制作并郑重地向贵协会递交本《金融服务方案》。本《金融服务方案》的制作承载着中国银行为贵协会服务的原则，即：</w:t>
      </w:r>
    </w:p>
    <w:p w:rsidR="00017FFE" w:rsidRPr="002701FD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宋体"/>
          <w:b/>
          <w:color w:val="000000"/>
          <w:kern w:val="0"/>
          <w:sz w:val="31"/>
          <w:szCs w:val="31"/>
        </w:rPr>
      </w:pPr>
      <w:r w:rsidRPr="002701FD">
        <w:rPr>
          <w:rFonts w:ascii="仿宋" w:eastAsia="仿宋" w:hAnsi="仿宋" w:cs="宋体" w:hint="eastAsia"/>
          <w:b/>
          <w:color w:val="000000"/>
          <w:kern w:val="0"/>
          <w:sz w:val="31"/>
          <w:szCs w:val="31"/>
        </w:rPr>
        <w:t>长期战略合作原则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中国银行将贵协会视为长期战略合作伙伴，希望通过双方的诚挚合作，建立良好而深厚的银企关系。</w:t>
      </w:r>
    </w:p>
    <w:p w:rsidR="00017FFE" w:rsidRPr="002701FD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宋体"/>
          <w:b/>
          <w:color w:val="000000"/>
          <w:kern w:val="0"/>
          <w:sz w:val="31"/>
          <w:szCs w:val="31"/>
        </w:rPr>
      </w:pPr>
      <w:r w:rsidRPr="002701FD">
        <w:rPr>
          <w:rFonts w:ascii="仿宋" w:eastAsia="仿宋" w:hAnsi="仿宋" w:cs="宋体" w:hint="eastAsia"/>
          <w:b/>
          <w:color w:val="000000"/>
          <w:kern w:val="0"/>
          <w:sz w:val="31"/>
          <w:szCs w:val="31"/>
        </w:rPr>
        <w:t>我行重点支持原则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中国银行将贵协会列为重点客户，在各项业务方面都予以大力支持，为贵协会业务的发展倾注一臂之力。</w:t>
      </w:r>
    </w:p>
    <w:p w:rsidR="00017FFE" w:rsidRPr="002701FD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宋体"/>
          <w:b/>
          <w:color w:val="000000"/>
          <w:kern w:val="0"/>
          <w:sz w:val="31"/>
          <w:szCs w:val="31"/>
        </w:rPr>
      </w:pPr>
      <w:r w:rsidRPr="002701FD">
        <w:rPr>
          <w:rFonts w:ascii="仿宋" w:eastAsia="仿宋" w:hAnsi="仿宋" w:cs="宋体" w:hint="eastAsia"/>
          <w:b/>
          <w:color w:val="000000"/>
          <w:kern w:val="0"/>
          <w:sz w:val="31"/>
          <w:szCs w:val="31"/>
        </w:rPr>
        <w:t>高水平服务原则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中国银行承诺以其最优秀的人力资源、完善的服务网络以及个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性化的金融产品为贵协会提供高水平、全方位的金融服务。</w:t>
      </w:r>
    </w:p>
    <w:p w:rsidR="00017FFE" w:rsidRPr="002701FD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宋体"/>
          <w:b/>
          <w:color w:val="000000"/>
          <w:kern w:val="0"/>
          <w:sz w:val="31"/>
          <w:szCs w:val="31"/>
        </w:rPr>
      </w:pPr>
      <w:r w:rsidRPr="002701FD">
        <w:rPr>
          <w:rFonts w:ascii="仿宋" w:eastAsia="仿宋" w:hAnsi="仿宋" w:cs="宋体" w:hint="eastAsia"/>
          <w:b/>
          <w:color w:val="000000"/>
          <w:kern w:val="0"/>
          <w:sz w:val="31"/>
          <w:szCs w:val="31"/>
        </w:rPr>
        <w:t>个性化方案原则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中国银行本着贵协会需求深刻理解的基础上，致力于为贵公司提供全方位、全流程、全系统化的金融服务方案。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lastRenderedPageBreak/>
        <w:t>我们诚挚希望：贵协会能够选择中国银行作为战略合作银行。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中国银行对本《金融服务方案》具有最终解释权：我们充分信任并依赖于贵公司对本《金融服务方案》内涉及的知识产权及商业秘密的保护。</w:t>
      </w:r>
    </w:p>
    <w:p w:rsidR="00017FFE" w:rsidRPr="0038653C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b/>
          <w:color w:val="000000"/>
          <w:kern w:val="0"/>
          <w:sz w:val="31"/>
          <w:szCs w:val="31"/>
        </w:rPr>
      </w:pPr>
      <w:r w:rsidRPr="0038653C">
        <w:rPr>
          <w:rFonts w:ascii="仿宋" w:eastAsia="仿宋" w:hAnsi="仿宋" w:cs="仿宋_GB2312" w:hint="eastAsia"/>
          <w:b/>
          <w:color w:val="000000"/>
          <w:kern w:val="0"/>
          <w:sz w:val="31"/>
          <w:szCs w:val="31"/>
        </w:rPr>
        <w:t>中银集采通宝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一、面向对象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东莞各级政府采购的中标企业，中标企业详见东莞政府采购结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果公示清单和东莞协议供货商名单。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二、客户准入标准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、股东为东莞本地人，且与政府单位合作年限超过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年的企业；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、中标项目方面，优先选择中标园林绿化养护、环卫保洁、道路维护等市政工程维护项目的企业；中标合同方面，优先选择中标年限长，政府单位按月或按季度定时支付款项，应收账款回笼稳定。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、负债方面：如在其他银行有无抵押贷款，包括应收账款质押、联保连带、信用贷款情况下，我行需综合借款人实际经营情况后确定是否准入，如借款人在三家或上家以上银行有贷款原则上不叙做。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4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、信用记录良好：借款人或股东三年内无贷款或信用卡逾期超过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期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次。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三、授信方案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、授信总量：最高不超过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2000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万元，一般不超过中标通知书和政府采购合同金额的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9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成。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lastRenderedPageBreak/>
        <w:t>2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、授信期限：贷款期限最长不超过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年。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、授信用途：原则上用于中标项目资金流动需求。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4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、利率：普惠金融利率，一年期：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4.8%-5.17%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；三年期：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5.39%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。</w:t>
      </w:r>
    </w:p>
    <w:p w:rsidR="00017FFE" w:rsidRPr="0038653C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b/>
          <w:color w:val="000000"/>
          <w:kern w:val="0"/>
          <w:sz w:val="31"/>
          <w:szCs w:val="31"/>
        </w:rPr>
      </w:pPr>
      <w:r w:rsidRPr="0038653C">
        <w:rPr>
          <w:rFonts w:ascii="仿宋" w:eastAsia="仿宋" w:hAnsi="仿宋" w:cs="仿宋_GB2312" w:hint="eastAsia"/>
          <w:b/>
          <w:color w:val="000000"/>
          <w:kern w:val="0"/>
          <w:sz w:val="31"/>
          <w:szCs w:val="31"/>
        </w:rPr>
        <w:t>中银科技通宝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一、面向对象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东莞市内的国家级高新技术企业、正在申请的高新技术企业、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资本市场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/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新三板企业、东莞市倍增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/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协同倍增企业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二、客户准入标准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、优先选择高成长的企业；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、优先选择股东在相关行业从业经验有五年以上；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、经营年限方面：企业经营年限原则上不少于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年。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4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、经营场所方面：优先叙做经营场所自有，或租地自建的企业。尽可能争取房产土地抵押。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5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、负债方面：优先选择在银行系统无负债的客户；如在其他银行有贷款，原则上要求借款人在所有银行的授信余额（存量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+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我行新增）不超过借款人销售收入的三分之一。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6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、信用记录良好：借款人或股东三年内逾期记录不超过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次。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（三）授信方案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、授信总量：最高不超过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2000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万元。信用部分不超过纳税销售的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10%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，封顶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500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、授信期限：最长不超过三年。固定资产贷款最长不超过五年。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、利率：普惠金融利率，一年期：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4.8%-5.17%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；三年期：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5.39%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。</w:t>
      </w:r>
    </w:p>
    <w:p w:rsidR="00017FFE" w:rsidRPr="00003691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b/>
          <w:color w:val="000000"/>
          <w:kern w:val="0"/>
          <w:sz w:val="31"/>
          <w:szCs w:val="31"/>
        </w:rPr>
      </w:pPr>
      <w:r w:rsidRPr="00003691">
        <w:rPr>
          <w:rFonts w:ascii="仿宋" w:eastAsia="仿宋" w:hAnsi="仿宋" w:cs="仿宋_GB2312" w:hint="eastAsia"/>
          <w:b/>
          <w:color w:val="000000"/>
          <w:kern w:val="0"/>
          <w:sz w:val="31"/>
          <w:szCs w:val="31"/>
        </w:rPr>
        <w:lastRenderedPageBreak/>
        <w:t>中银结算通宝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一、面向对象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在中行进行存款结算的中小企业客户，以其结算流水和存款沉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淀作为主要参考依据提供资金支持的授信业务。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二、客户准入标准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、在我行前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12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个月年日均存款在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50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万元（含）以上、前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12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个月贷方累计结算额在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1000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万元（含）以上、前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12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个月借贷方累计结算笔数在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100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笔（含）以上。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、行业方面：优先支持先进制造业，教育、医疗、食品等民生行业，谨慎叙做贸易型企业。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、经营年限方面：企业经营年限原则上不少于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年。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4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、经营场所方面：优先叙做经营场所自有，或租地自建的企业。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5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、信用记录良好：借款人或股东三年内无贷款或信用卡逾期超过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期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次。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三、授信方案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、授信总量：信用部分不超过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200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万元，如提供其他担保方式，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授信总量最多不超过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500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万元。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、授信期限：最长不超过一年。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、授信用途：仅限用于借款人日常经营所需的流动资金。</w:t>
      </w:r>
    </w:p>
    <w:p w:rsidR="00003691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4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、利率：普惠金融利率，一年期：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4.99%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。</w:t>
      </w:r>
    </w:p>
    <w:p w:rsidR="00017FFE" w:rsidRPr="00003691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b/>
          <w:color w:val="000000"/>
          <w:kern w:val="0"/>
          <w:sz w:val="31"/>
          <w:szCs w:val="31"/>
        </w:rPr>
      </w:pPr>
      <w:r w:rsidRPr="00003691">
        <w:rPr>
          <w:rFonts w:ascii="仿宋" w:eastAsia="仿宋" w:hAnsi="仿宋" w:cs="楷体_GB2312" w:hint="eastAsia"/>
          <w:b/>
          <w:color w:val="000000"/>
          <w:kern w:val="0"/>
          <w:sz w:val="31"/>
          <w:szCs w:val="31"/>
        </w:rPr>
        <w:t>中银“专精特新”企业专属成长货系列产品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一、成长快贷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lastRenderedPageBreak/>
        <w:t>针对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2019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年至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2021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年“小升规”培育库企业以及“小升规”企业，在“升规”培育阶段可提供人民币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150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万元的免抵押信用贷款授信额度，成功“升规”再追加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150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万元免抵押信用贷款授信额度，总授信额度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300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万元，贷款期限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年。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二、高成长贷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针对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2019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年至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2021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年国家级专精特新“小巨人”企业、省高成长中小企，以及省中小企业（民营企业）创新产业示范基地，根据企业具体需要设计相适应的短期或中长期授信方案，贷款期限最长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3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年，中长期首年免还本金，担保方式灵活。总授信额度最高为人民币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1000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万元，其中免抵押信用贷款授信额度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500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万元，抵押贷款的放款金额不低于抵押物评估价值，在授信额度内充分满足企业贷款需求，快速放贷。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三、技改成长贷</w:t>
      </w:r>
    </w:p>
    <w:p w:rsidR="00017FFE" w:rsidRPr="0072236B" w:rsidRDefault="00017FFE" w:rsidP="00017FF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针对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2019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年至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2021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年实施技术改造的“专精特新”企业，包括：</w:t>
      </w:r>
    </w:p>
    <w:p w:rsidR="006914F9" w:rsidRPr="00003691" w:rsidRDefault="00017FFE" w:rsidP="00003691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</w:rPr>
      </w:pP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获得各级工信部门政策支持的技术改造、智能化改造、工业互联网“上云上平台”企业，根据企业具体需求设计相适应的短期或中长期授信方案，贷款期限最长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10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年，总授信额度最高为人民币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4000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万元，其中免抵押信用贷款授信额度</w:t>
      </w:r>
      <w:r w:rsidRPr="0072236B">
        <w:rPr>
          <w:rFonts w:ascii="仿宋" w:eastAsia="仿宋" w:hAnsi="仿宋" w:cs="仿宋_GB2312"/>
          <w:color w:val="000000"/>
          <w:kern w:val="0"/>
          <w:sz w:val="31"/>
          <w:szCs w:val="31"/>
        </w:rPr>
        <w:t>500</w:t>
      </w:r>
      <w:r w:rsidRPr="0072236B">
        <w:rPr>
          <w:rFonts w:ascii="仿宋" w:eastAsia="仿宋" w:hAnsi="仿宋" w:cs="仿宋_GB2312" w:hint="eastAsia"/>
          <w:color w:val="000000"/>
          <w:kern w:val="0"/>
          <w:sz w:val="31"/>
          <w:szCs w:val="31"/>
        </w:rPr>
        <w:t>万元，抵押贷款的放款金额不低于抵押物评估价值，授信额度内充分满足企业贷款需求，快速放贷。</w:t>
      </w:r>
    </w:p>
    <w:sectPr w:rsidR="006914F9" w:rsidRPr="00003691" w:rsidSect="00165AF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4F9" w:rsidRDefault="006914F9" w:rsidP="00017FFE">
      <w:r>
        <w:separator/>
      </w:r>
    </w:p>
  </w:endnote>
  <w:endnote w:type="continuationSeparator" w:id="1">
    <w:p w:rsidR="006914F9" w:rsidRDefault="006914F9" w:rsidP="0001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4F9" w:rsidRDefault="006914F9" w:rsidP="00017FFE">
      <w:r>
        <w:separator/>
      </w:r>
    </w:p>
  </w:footnote>
  <w:footnote w:type="continuationSeparator" w:id="1">
    <w:p w:rsidR="006914F9" w:rsidRDefault="006914F9" w:rsidP="00017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FFE"/>
    <w:rsid w:val="00003691"/>
    <w:rsid w:val="00017FFE"/>
    <w:rsid w:val="00165AF1"/>
    <w:rsid w:val="002701FD"/>
    <w:rsid w:val="00301912"/>
    <w:rsid w:val="0038653C"/>
    <w:rsid w:val="006914F9"/>
    <w:rsid w:val="0072236B"/>
    <w:rsid w:val="00B3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F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F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340</Words>
  <Characters>1942</Characters>
  <Application>Microsoft Office Word</Application>
  <DocSecurity>0</DocSecurity>
  <Lines>16</Lines>
  <Paragraphs>4</Paragraphs>
  <ScaleCrop>false</ScaleCrop>
  <Company>Sky123.Org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9</cp:revision>
  <dcterms:created xsi:type="dcterms:W3CDTF">2019-08-26T07:43:00Z</dcterms:created>
  <dcterms:modified xsi:type="dcterms:W3CDTF">2019-08-26T07:49:00Z</dcterms:modified>
</cp:coreProperties>
</file>